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635A2" w:rsidR="002C2E29" w:rsidP="00E635A2" w:rsidRDefault="004033D8" w14:paraId="7F6961A1" w14:textId="77777777">
      <w:pPr>
        <w:jc w:val="right"/>
        <w:rPr>
          <w:rFonts w:cs="David"/>
          <w:b/>
          <w:bCs/>
          <w:sz w:val="20"/>
          <w:szCs w:val="20"/>
        </w:rPr>
      </w:pPr>
      <w:r w:rsidRPr="00E635A2">
        <w:rPr>
          <w:rFonts w:hint="cs" w:cs="David"/>
          <w:sz w:val="20"/>
          <w:szCs w:val="20"/>
          <w:rtl/>
        </w:rPr>
        <w:t xml:space="preserve">מספר פנימי: </w:t>
      </w:r>
      <w:bookmarkStart w:name="LGS_Internal_ID" w:id="0"/>
      <w:r>
        <w:rPr>
          <w:rFonts w:hint="cs" w:cs="David"/>
          <w:sz w:val="20"/>
          <w:szCs w:val="20"/>
          <w:rtl/>
        </w:rPr>
        <w:t>2163177</w:t>
      </w:r>
      <w:bookmarkEnd w:id="0"/>
    </w:p>
    <w:p w:rsidRPr="00DB7060" w:rsidR="00E13C27" w:rsidP="00A443CF" w:rsidRDefault="00E13C27" w14:paraId="7F6961A2" w14:textId="53D639AE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name="LGS_Knesset_Num" w:id="1"/>
      <w:r>
        <w:rPr>
          <w:rFonts w:hint="cs"/>
          <w:sz w:val="28"/>
          <w:szCs w:val="28"/>
          <w:rtl/>
        </w:rPr>
        <w:t>העשרים וארבע</w:t>
      </w:r>
      <w:bookmarkEnd w:id="1"/>
    </w:p>
    <w:p w:rsidRPr="00F67051" w:rsidR="00E13C27" w:rsidP="00E13C27" w:rsidRDefault="00E13C27" w14:paraId="7F6961A3" w14:textId="77777777">
      <w:pPr>
        <w:rPr>
          <w:rFonts w:cs="David"/>
          <w:b/>
          <w:bCs/>
          <w:sz w:val="26"/>
          <w:szCs w:val="26"/>
          <w:rtl/>
        </w:rPr>
      </w:pPr>
    </w:p>
    <w:p w:rsidRPr="00CF1AA2" w:rsidR="00E13C27" w:rsidP="00EE5737" w:rsidRDefault="008F6665" w14:paraId="7F6961AA" w14:textId="42B46A4A">
      <w:pPr>
        <w:pStyle w:val="David"/>
        <w:spacing w:line="360" w:lineRule="auto"/>
        <w:ind w:left="3544"/>
        <w:rPr>
          <w:b/>
          <w:bCs/>
          <w:sz w:val="16"/>
          <w:szCs w:val="16"/>
          <w:rtl/>
        </w:rPr>
      </w:pPr>
      <w:bookmarkStart w:name="LGS_Initiators_List" w:id="2"/>
      <w:r>
        <w:rPr>
          <w:b/>
          <w:bCs/>
          <w:rtl/>
        </w:rPr>
        <w:t>יוזם:</w:t>
      </w:r>
      <w:r>
        <w:tab/>
      </w:r>
      <w:r>
        <w:rPr>
          <w:b/>
          <w:bCs/>
          <w:rtl/>
        </w:rPr>
        <w:t xml:space="preserve">      חבר הכנסת</w:t>
      </w:r>
      <w:bookmarkEnd w:id="2"/>
      <w:r w:rsidRPr="00F67051" w:rsidR="00B35784">
        <w:rPr>
          <w:b/>
          <w:bCs/>
        </w:rPr>
        <w:tab/>
      </w:r>
      <w:bookmarkStart w:name="LGS_PM_Names" w:id="3"/>
      <w:r>
        <w:rPr>
          <w:rFonts w:hint="cs"/>
          <w:b/>
          <w:bCs/>
          <w:rtl/>
        </w:rPr>
        <w:t>יצחק פינדרוס</w:t>
      </w:r>
      <w:bookmarkStart w:name="LGS_Join_List" w:id="4"/>
      <w:bookmarkEnd w:id="3"/>
      <w:r w:rsidR="007D585A">
        <w:rPr>
          <w:rtl/>
        </w:rPr>
        <w:t xml:space="preserve"> </w:t>
      </w:r>
      <w:bookmarkEnd w:id="4"/>
      <w:r w:rsidRPr="00CF1AA2" w:rsidR="002200A1">
        <w:rPr>
          <w:rFonts w:hint="cs"/>
          <w:rtl/>
        </w:rPr>
        <w:tab/>
      </w:r>
      <w:bookmarkStart w:name="LGS_PM_NamesJoin" w:id="5"/>
      <w:r w:rsidR="007D585A">
        <w:rPr>
          <w:rFonts w:hint="cs"/>
          <w:rtl/>
        </w:rPr>
        <w:t xml:space="preserve"> </w:t>
      </w:r>
      <w:bookmarkEnd w:id="5"/>
    </w:p>
    <w:p w:rsidRPr="00904591" w:rsidR="00904591" w:rsidP="0036422C" w:rsidRDefault="00266D86" w14:paraId="34DB4103" w14:textId="77777777">
      <w:pPr>
        <w:pStyle w:val="David"/>
        <w:spacing w:before="0" w:line="360" w:lineRule="auto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Pr="00E06736" w:rsidR="00E06736">
        <w:tab/>
      </w:r>
      <w:r w:rsidRPr="00E06736" w:rsidR="00E13C27">
        <w:rPr>
          <w:rFonts w:hint="cs"/>
          <w:rtl/>
        </w:rPr>
        <w:tab/>
      </w:r>
      <w:r w:rsidRPr="00E06736" w:rsidR="00E13C27">
        <w:rPr>
          <w:rFonts w:hint="cs"/>
          <w:rtl/>
        </w:rPr>
        <w:tab/>
      </w:r>
      <w:r w:rsidRPr="00E06736" w:rsidR="00E13C27">
        <w:rPr>
          <w:rFonts w:hint="cs"/>
          <w:rtl/>
        </w:rPr>
        <w:tab/>
      </w:r>
      <w:r w:rsidR="00904591">
        <w:t xml:space="preserve">           </w:t>
      </w:r>
    </w:p>
    <w:p w:rsidRPr="00E06736" w:rsidR="00E13C27" w:rsidP="00904591" w:rsidRDefault="00904591" w14:paraId="7F6961AB" w14:textId="256138AA">
      <w:pPr>
        <w:pStyle w:val="David"/>
        <w:spacing w:before="0"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name="Private_Number" w:id="6"/>
      <w:r>
        <w:rPr>
          <w:rFonts w:hint="cs"/>
          <w:rtl/>
        </w:rPr>
        <w:t>פ/2326/24</w:t>
      </w:r>
      <w:bookmarkEnd w:id="6"/>
    </w:p>
    <w:p w:rsidR="00E13C27" w:rsidP="00E13C27" w:rsidRDefault="00E13C27" w14:paraId="7F6961AC" w14:textId="77777777">
      <w:pPr>
        <w:spacing w:before="0" w:line="360" w:lineRule="auto"/>
        <w:ind w:left="2880" w:firstLine="720"/>
        <w:rPr>
          <w:rFonts w:cs="David"/>
          <w:sz w:val="26"/>
          <w:szCs w:val="26"/>
          <w:rtl/>
        </w:rPr>
      </w:pPr>
    </w:p>
    <w:p w:rsidRPr="00F67051" w:rsidR="00E13C27" w:rsidP="0021633A" w:rsidRDefault="00A443CF" w14:paraId="7F6961AD" w14:textId="77777777">
      <w:pPr>
        <w:pStyle w:val="HeadHatzaotHok"/>
        <w:rPr>
          <w:rtl/>
        </w:rPr>
      </w:pPr>
      <w:bookmarkStart w:name="LGS_Subject" w:id="7"/>
      <w:r xmlns:w="http://schemas.openxmlformats.org/wordprocessingml/2006/main">
        <w:rPr xmlns:w="http://schemas.openxmlformats.org/wordprocessingml/2006/main">
          <w:rFonts w:hint="cs"/>
          <w:rtl/>
        </w:rPr>
        <w:t xml:space="preserve">הצעת חוק לתיקון פקודת מס הכנסה (הכרה בהוצאות אש"ל לעצמאים), התשפ"ב–2021</w:t>
      </w:r>
      <w:bookmarkEnd w:id="7"/>
    </w:p>
    <w:p w:rsidR="00E13C27" w:rsidP="0021633A" w:rsidRDefault="00E13C27" w14:paraId="7F6961AE" w14:textId="77777777">
      <w:pPr>
        <w:pStyle w:val="HeadDivreiHesber"/>
        <w:spacing w:before="0" w:after="0"/>
        <w:rPr>
          <w:rtl/>
        </w:rPr>
      </w:pPr>
    </w:p>
    <w:tbl>
      <w:tblPr>
        <w:bidiVisual/>
        <w:tblW w:w="9641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24"/>
        <w:gridCol w:w="624"/>
        <w:gridCol w:w="624"/>
        <w:gridCol w:w="5898"/>
      </w:tblGrid>
      <w:tr w:rsidRPr="00D33A79" w:rsidR="00596E93" w:rsidTr="00596E93" w14:paraId="5F184A98" w14:textId="77777777">
        <w:trPr>
          <w:cantSplit/>
          <w:trHeight w:val="378"/>
        </w:trPr>
        <w:tc>
          <w:tcPr>
            <w:tcW w:w="1871" w:type="dxa"/>
          </w:tcPr>
          <w:p w:rsidR="00596E93" w:rsidP="00405136" w:rsidRDefault="00596E93" w14:paraId="3E1049DC" w14:textId="77777777">
            <w:pPr>
              <w:pStyle w:val="TableSideHeading"/>
              <w:keepLines w:val="0"/>
              <w:rPr>
                <w:rtl/>
              </w:rPr>
            </w:pPr>
            <w:r>
              <w:rPr>
                <w:rFonts w:hint="cs"/>
                <w:rtl/>
              </w:rPr>
              <w:t>תיקון סעיף 32</w:t>
            </w:r>
          </w:p>
        </w:tc>
        <w:tc>
          <w:tcPr>
            <w:tcW w:w="624" w:type="dxa"/>
          </w:tcPr>
          <w:p w:rsidR="00596E93" w:rsidP="00405136" w:rsidRDefault="00596E93" w14:paraId="11EE4694" w14:textId="77777777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1. </w:t>
            </w:r>
          </w:p>
        </w:tc>
        <w:tc>
          <w:tcPr>
            <w:tcW w:w="7146" w:type="dxa"/>
            <w:gridSpan w:val="3"/>
          </w:tcPr>
          <w:p w:rsidR="00596E93" w:rsidP="00405136" w:rsidRDefault="00596E93" w14:paraId="7D166471" w14:textId="77777777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>בפקודת מס הכנסה</w:t>
            </w:r>
            <w:r w:rsidRPr="00B95D7F">
              <w:rPr>
                <w:rStyle w:val="a5"/>
                <w:sz w:val="12"/>
                <w:szCs w:val="18"/>
                <w:rtl/>
              </w:rPr>
              <w:footnoteReference w:id="2"/>
            </w:r>
            <w:r>
              <w:rPr>
                <w:rFonts w:hint="cs"/>
                <w:rtl/>
              </w:rPr>
              <w:t xml:space="preserve">, בסעיף 32(1)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596E93" w:rsidTr="00596E93" w14:paraId="33B12021" w14:textId="77777777">
        <w:trPr>
          <w:cantSplit/>
          <w:trHeight w:val="60"/>
        </w:trPr>
        <w:tc>
          <w:tcPr>
            <w:tcW w:w="1871" w:type="dxa"/>
          </w:tcPr>
          <w:p w:rsidR="00596E93" w:rsidP="00405136" w:rsidRDefault="00596E93" w14:paraId="41F299B0" w14:textId="77777777">
            <w:pPr>
              <w:pStyle w:val="TableSideHeading"/>
            </w:pPr>
          </w:p>
        </w:tc>
        <w:tc>
          <w:tcPr>
            <w:tcW w:w="624" w:type="dxa"/>
          </w:tcPr>
          <w:p w:rsidR="00596E93" w:rsidP="00405136" w:rsidRDefault="00596E93" w14:paraId="12FEC111" w14:textId="77777777">
            <w:pPr>
              <w:pStyle w:val="TableText"/>
            </w:pPr>
          </w:p>
        </w:tc>
        <w:tc>
          <w:tcPr>
            <w:tcW w:w="7146" w:type="dxa"/>
            <w:gridSpan w:val="3"/>
          </w:tcPr>
          <w:p w:rsidR="00596E93" w:rsidP="00405136" w:rsidRDefault="00596E93" w14:paraId="524171A1" w14:textId="77777777">
            <w:pPr>
              <w:pStyle w:val="TableBlock"/>
            </w:pPr>
            <w:r>
              <w:rPr>
                <w:rFonts w:hint="cs"/>
                <w:rtl/>
              </w:rPr>
              <w:t>(1)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 xml:space="preserve">המילים "הוצאות הבית"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יימחקו;</w:t>
            </w:r>
          </w:p>
        </w:tc>
      </w:tr>
      <w:tr w:rsidR="00596E93" w:rsidTr="00596E93" w14:paraId="14448D6B" w14:textId="77777777">
        <w:trPr>
          <w:cantSplit/>
          <w:trHeight w:val="60"/>
        </w:trPr>
        <w:tc>
          <w:tcPr>
            <w:tcW w:w="1871" w:type="dxa"/>
          </w:tcPr>
          <w:p w:rsidR="00596E93" w:rsidP="00405136" w:rsidRDefault="00596E93" w14:paraId="2D2A6862" w14:textId="77777777">
            <w:pPr>
              <w:pStyle w:val="TableSideHeading"/>
            </w:pPr>
          </w:p>
        </w:tc>
        <w:tc>
          <w:tcPr>
            <w:tcW w:w="624" w:type="dxa"/>
          </w:tcPr>
          <w:p w:rsidR="00596E93" w:rsidP="00405136" w:rsidRDefault="00596E93" w14:paraId="4EF33BA3" w14:textId="77777777">
            <w:pPr>
              <w:pStyle w:val="TableText"/>
            </w:pPr>
          </w:p>
        </w:tc>
        <w:tc>
          <w:tcPr>
            <w:tcW w:w="7146" w:type="dxa"/>
            <w:gridSpan w:val="3"/>
          </w:tcPr>
          <w:p w:rsidR="00596E93" w:rsidP="00405136" w:rsidRDefault="00596E93" w14:paraId="6443B35B" w14:textId="77777777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>(2)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 xml:space="preserve">בהגדרה "הוצאות אש"ל" </w:t>
            </w:r>
            <w:r>
              <w:rPr>
                <w:rtl/>
              </w:rPr>
              <w:t>–</w:t>
            </w:r>
          </w:p>
        </w:tc>
      </w:tr>
      <w:tr w:rsidR="00596E93" w:rsidTr="00596E93" w14:paraId="68B909EC" w14:textId="77777777">
        <w:trPr>
          <w:cantSplit/>
          <w:trHeight w:val="60"/>
        </w:trPr>
        <w:tc>
          <w:tcPr>
            <w:tcW w:w="1871" w:type="dxa"/>
          </w:tcPr>
          <w:p w:rsidR="00596E93" w:rsidP="00405136" w:rsidRDefault="00596E93" w14:paraId="24F1EFCE" w14:textId="77777777">
            <w:pPr>
              <w:pStyle w:val="TableSideHeading"/>
            </w:pPr>
          </w:p>
        </w:tc>
        <w:tc>
          <w:tcPr>
            <w:tcW w:w="624" w:type="dxa"/>
          </w:tcPr>
          <w:p w:rsidR="00596E93" w:rsidP="00405136" w:rsidRDefault="00596E93" w14:paraId="70897292" w14:textId="77777777">
            <w:pPr>
              <w:pStyle w:val="TableText"/>
            </w:pPr>
          </w:p>
        </w:tc>
        <w:tc>
          <w:tcPr>
            <w:tcW w:w="624" w:type="dxa"/>
          </w:tcPr>
          <w:p w:rsidR="00596E93" w:rsidP="00405136" w:rsidRDefault="00596E93" w14:paraId="63FD48D8" w14:textId="77777777">
            <w:pPr>
              <w:pStyle w:val="TableText"/>
            </w:pPr>
          </w:p>
        </w:tc>
        <w:tc>
          <w:tcPr>
            <w:tcW w:w="6522" w:type="dxa"/>
            <w:gridSpan w:val="2"/>
          </w:tcPr>
          <w:p w:rsidR="00596E93" w:rsidP="00405136" w:rsidRDefault="00596E93" w14:paraId="06E05F6A" w14:textId="77777777">
            <w:pPr>
              <w:pStyle w:val="TableBlock"/>
            </w:pPr>
            <w:r>
              <w:rPr>
                <w:rFonts w:hint="cs"/>
                <w:rtl/>
              </w:rPr>
              <w:t>(א)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אחרי "ולמעט" יבוא "אלה:";</w:t>
            </w:r>
          </w:p>
        </w:tc>
      </w:tr>
      <w:tr w:rsidR="00596E93" w:rsidTr="00596E93" w14:paraId="5E0E9E1B" w14:textId="77777777">
        <w:trPr>
          <w:cantSplit/>
          <w:trHeight w:val="60"/>
        </w:trPr>
        <w:tc>
          <w:tcPr>
            <w:tcW w:w="1871" w:type="dxa"/>
          </w:tcPr>
          <w:p w:rsidR="00596E93" w:rsidP="00405136" w:rsidRDefault="00596E93" w14:paraId="1DBE8737" w14:textId="77777777">
            <w:pPr>
              <w:pStyle w:val="TableSideHeading"/>
            </w:pPr>
          </w:p>
        </w:tc>
        <w:tc>
          <w:tcPr>
            <w:tcW w:w="624" w:type="dxa"/>
          </w:tcPr>
          <w:p w:rsidR="00596E93" w:rsidP="00405136" w:rsidRDefault="00596E93" w14:paraId="315612B6" w14:textId="77777777">
            <w:pPr>
              <w:pStyle w:val="TableText"/>
            </w:pPr>
          </w:p>
        </w:tc>
        <w:tc>
          <w:tcPr>
            <w:tcW w:w="624" w:type="dxa"/>
          </w:tcPr>
          <w:p w:rsidR="00596E93" w:rsidP="00405136" w:rsidRDefault="00596E93" w14:paraId="4E189FC4" w14:textId="77777777">
            <w:pPr>
              <w:pStyle w:val="TableText"/>
            </w:pPr>
          </w:p>
        </w:tc>
        <w:tc>
          <w:tcPr>
            <w:tcW w:w="6522" w:type="dxa"/>
            <w:gridSpan w:val="2"/>
          </w:tcPr>
          <w:p w:rsidR="00596E93" w:rsidP="00405136" w:rsidRDefault="00596E93" w14:paraId="21B5FF44" w14:textId="77777777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>(ב)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הסיפה החל מהמילה "הוצאות" תסומן (א);</w:t>
            </w:r>
          </w:p>
        </w:tc>
      </w:tr>
      <w:tr w:rsidR="00596E93" w:rsidTr="00596E93" w14:paraId="23DE25BA" w14:textId="77777777">
        <w:trPr>
          <w:cantSplit/>
          <w:trHeight w:val="60"/>
        </w:trPr>
        <w:tc>
          <w:tcPr>
            <w:tcW w:w="1871" w:type="dxa"/>
          </w:tcPr>
          <w:p w:rsidR="00596E93" w:rsidP="00405136" w:rsidRDefault="00596E93" w14:paraId="71D459CE" w14:textId="77777777">
            <w:pPr>
              <w:pStyle w:val="TableSideHeading"/>
            </w:pPr>
          </w:p>
        </w:tc>
        <w:tc>
          <w:tcPr>
            <w:tcW w:w="624" w:type="dxa"/>
          </w:tcPr>
          <w:p w:rsidR="00596E93" w:rsidP="00405136" w:rsidRDefault="00596E93" w14:paraId="7A863888" w14:textId="77777777">
            <w:pPr>
              <w:pStyle w:val="TableText"/>
            </w:pPr>
          </w:p>
        </w:tc>
        <w:tc>
          <w:tcPr>
            <w:tcW w:w="624" w:type="dxa"/>
          </w:tcPr>
          <w:p w:rsidR="00596E93" w:rsidP="00405136" w:rsidRDefault="00596E93" w14:paraId="0A33ADA0" w14:textId="77777777">
            <w:pPr>
              <w:pStyle w:val="TableText"/>
            </w:pPr>
          </w:p>
        </w:tc>
        <w:tc>
          <w:tcPr>
            <w:tcW w:w="6522" w:type="dxa"/>
            <w:gridSpan w:val="2"/>
          </w:tcPr>
          <w:p w:rsidR="00596E93" w:rsidP="00405136" w:rsidRDefault="00596E93" w14:paraId="7B987C1C" w14:textId="77777777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>(ג)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אחרי פסקה (א) יבוא:</w:t>
            </w:r>
          </w:p>
        </w:tc>
      </w:tr>
      <w:tr w:rsidR="00596E93" w:rsidTr="00596E93" w14:paraId="0A36B29F" w14:textId="77777777">
        <w:trPr>
          <w:cantSplit/>
          <w:trHeight w:val="60"/>
        </w:trPr>
        <w:tc>
          <w:tcPr>
            <w:tcW w:w="1871" w:type="dxa"/>
          </w:tcPr>
          <w:p w:rsidR="00596E93" w:rsidP="00405136" w:rsidRDefault="00596E93" w14:paraId="1C5A053F" w14:textId="77777777">
            <w:pPr>
              <w:pStyle w:val="TableSideHeading"/>
            </w:pPr>
          </w:p>
        </w:tc>
        <w:tc>
          <w:tcPr>
            <w:tcW w:w="624" w:type="dxa"/>
          </w:tcPr>
          <w:p w:rsidR="00596E93" w:rsidP="00405136" w:rsidRDefault="00596E93" w14:paraId="44880FF6" w14:textId="77777777">
            <w:pPr>
              <w:pStyle w:val="TableText"/>
            </w:pPr>
          </w:p>
        </w:tc>
        <w:tc>
          <w:tcPr>
            <w:tcW w:w="624" w:type="dxa"/>
          </w:tcPr>
          <w:p w:rsidR="00596E93" w:rsidP="00405136" w:rsidRDefault="00596E93" w14:paraId="32D9348C" w14:textId="77777777">
            <w:pPr>
              <w:pStyle w:val="TableText"/>
            </w:pPr>
          </w:p>
        </w:tc>
        <w:tc>
          <w:tcPr>
            <w:tcW w:w="624" w:type="dxa"/>
          </w:tcPr>
          <w:p w:rsidR="00596E93" w:rsidP="00405136" w:rsidRDefault="00596E93" w14:paraId="51C1B314" w14:textId="77777777">
            <w:pPr>
              <w:pStyle w:val="TableText"/>
            </w:pPr>
          </w:p>
        </w:tc>
        <w:tc>
          <w:tcPr>
            <w:tcW w:w="5898" w:type="dxa"/>
          </w:tcPr>
          <w:p w:rsidR="00596E93" w:rsidP="00405136" w:rsidRDefault="00596E93" w14:paraId="0EFFE667" w14:textId="77777777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>"(ב)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 xml:space="preserve">הוצאות אש"ל שאינן עולות על 1,500 שקלים חדשים בחודש; ולעניין יחיד שמנוכות מהכנסתו החייבת הוצאות הבית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הוצאות אש"ל שאינן עולות על 750 שקלים חדשים בחודש;"</w:t>
            </w:r>
          </w:p>
        </w:tc>
      </w:tr>
    </w:tbl>
    <w:p w:rsidR="002D1EE3" w:rsidP="002D1EE3" w:rsidRDefault="002D1EE3" w14:paraId="7F6961CA" w14:textId="77777777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:rsidRPr="00596E93" w:rsidR="00596E93" w:rsidP="00596E93" w:rsidRDefault="00596E93" w14:paraId="08458968" w14:textId="77777777">
      <w:pPr>
        <w:pStyle w:val="Hesber"/>
        <w:rPr>
          <w:rtl/>
        </w:rPr>
      </w:pPr>
      <w:r w:rsidRPr="00596E93">
        <w:rPr>
          <w:rtl/>
        </w:rPr>
        <w:t xml:space="preserve">החזר הוצאות אש"ל נוצר עבור מקרים בהם </w:t>
      </w:r>
      <w:r w:rsidRPr="00596E93">
        <w:rPr>
          <w:rFonts w:hint="cs"/>
          <w:rtl/>
        </w:rPr>
        <w:t>עצמאי</w:t>
      </w:r>
      <w:r w:rsidRPr="00596E93">
        <w:rPr>
          <w:rtl/>
        </w:rPr>
        <w:t xml:space="preserve"> נאלץ לשהות במקום מרוחק ממקום העבודה הקבוע שלו, למשך פרקי זמן ארוכים וזאת במסגרת עבודתו או לצורך יצירת הכנסה. במשך תקופה זו </w:t>
      </w:r>
      <w:r w:rsidRPr="00596E93">
        <w:rPr>
          <w:rFonts w:hint="cs"/>
          <w:rtl/>
        </w:rPr>
        <w:t>י</w:t>
      </w:r>
      <w:r w:rsidRPr="00596E93">
        <w:rPr>
          <w:rtl/>
        </w:rPr>
        <w:t xml:space="preserve">ידרש העובד לשלם על </w:t>
      </w:r>
      <w:r w:rsidRPr="00596E93">
        <w:rPr>
          <w:rFonts w:hint="cs"/>
          <w:rtl/>
        </w:rPr>
        <w:t>אש</w:t>
      </w:r>
      <w:r w:rsidRPr="00596E93">
        <w:rPr>
          <w:rtl/>
        </w:rPr>
        <w:t xml:space="preserve">"ל מכיסו ומשום שההוצאות הללו מתקיימות במסגרת מילוי תפקידו, נוצר צורך </w:t>
      </w:r>
      <w:r w:rsidRPr="00596E93">
        <w:rPr>
          <w:rFonts w:hint="cs"/>
          <w:rtl/>
        </w:rPr>
        <w:t>לפצות אותו</w:t>
      </w:r>
      <w:r w:rsidRPr="00596E93">
        <w:rPr>
          <w:rtl/>
        </w:rPr>
        <w:t>.</w:t>
      </w:r>
    </w:p>
    <w:p w:rsidRPr="00596E93" w:rsidR="00596E93" w:rsidP="00596E93" w:rsidRDefault="00596E93" w14:paraId="6EB502A4" w14:textId="77777777">
      <w:pPr>
        <w:pStyle w:val="Hesber"/>
        <w:rPr>
          <w:rtl/>
        </w:rPr>
      </w:pPr>
      <w:r w:rsidRPr="00596E93">
        <w:rPr>
          <w:rFonts w:hint="cs"/>
          <w:rtl/>
        </w:rPr>
        <w:t>בארה</w:t>
      </w:r>
      <w:r w:rsidRPr="00596E93">
        <w:rPr>
          <w:rtl/>
        </w:rPr>
        <w:t>"ב עצמאי</w:t>
      </w:r>
      <w:r w:rsidRPr="00596E93">
        <w:rPr>
          <w:rFonts w:hint="cs"/>
          <w:rtl/>
        </w:rPr>
        <w:t>ם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יכולים</w:t>
      </w:r>
      <w:r w:rsidRPr="00596E93">
        <w:rPr>
          <w:rtl/>
        </w:rPr>
        <w:t xml:space="preserve"> לקבל ניכוי </w:t>
      </w:r>
      <w:r w:rsidRPr="00596E93">
        <w:rPr>
          <w:rFonts w:hint="cs"/>
          <w:rtl/>
        </w:rPr>
        <w:t>במס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בשיעור</w:t>
      </w:r>
      <w:r w:rsidRPr="00596E93">
        <w:rPr>
          <w:rtl/>
        </w:rPr>
        <w:t xml:space="preserve"> 50% מסך הארוחה. </w:t>
      </w:r>
      <w:r w:rsidRPr="00596E93">
        <w:rPr>
          <w:rFonts w:hint="cs"/>
          <w:rtl/>
        </w:rPr>
        <w:t>הוצאות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ארוחה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הינן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מוכרות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במס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אם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הנסיעה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העסקית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כוללת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לינה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מחוץ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לבית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או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שהיא ארוכה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מספיק,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כך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שנדרשת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מנוחה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או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שינה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משמעותית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על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מנת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לתפקד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כראוי</w:t>
      </w:r>
      <w:r w:rsidRPr="00596E93">
        <w:rPr>
          <w:rtl/>
        </w:rPr>
        <w:t xml:space="preserve">. </w:t>
      </w:r>
      <w:r w:rsidRPr="00596E93">
        <w:rPr>
          <w:rFonts w:hint="cs"/>
          <w:rtl/>
        </w:rPr>
        <w:t>בנוסף</w:t>
      </w:r>
      <w:r w:rsidRPr="00596E93">
        <w:rPr>
          <w:rtl/>
        </w:rPr>
        <w:t xml:space="preserve">, </w:t>
      </w:r>
      <w:r w:rsidRPr="00596E93">
        <w:rPr>
          <w:rFonts w:hint="cs"/>
          <w:rtl/>
        </w:rPr>
        <w:t>ניתן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לנכות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הוצאות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ארוחה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גם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במקרה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בו הארוחה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קשורה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באופן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ישיר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לעסק</w:t>
      </w:r>
      <w:r w:rsidRPr="00596E93">
        <w:rPr>
          <w:rtl/>
        </w:rPr>
        <w:t xml:space="preserve">. כך גם בגרמניה, עצמאי שנוסע בתוך גרמניה (יש תעריפים אחרים לנסיעות בינ"ל) זכאי להכרה במס להוצאות על ארוחות </w:t>
      </w:r>
      <w:r w:rsidRPr="00596E93">
        <w:rPr>
          <w:rFonts w:hint="cs"/>
          <w:rtl/>
        </w:rPr>
        <w:t>בסך</w:t>
      </w:r>
      <w:r w:rsidRPr="00596E93">
        <w:rPr>
          <w:rtl/>
        </w:rPr>
        <w:t xml:space="preserve"> 24 אירו ליום (מלבד יום ההגעה ויום העזיבה שבהם זכאי ל-12 אירו ליום, כמו גם בימים שבהם נמצא במרחק מסוים מהבית בין 8 ל-24 שעות). בנוסף, עצמאי בגרמניה זכאי לניכוי </w:t>
      </w:r>
      <w:r w:rsidRPr="00596E93">
        <w:rPr>
          <w:rFonts w:hint="cs"/>
          <w:rtl/>
        </w:rPr>
        <w:t>בשיעור</w:t>
      </w:r>
      <w:r w:rsidRPr="00596E93">
        <w:rPr>
          <w:rtl/>
        </w:rPr>
        <w:t xml:space="preserve"> 70% </w:t>
      </w:r>
      <w:r w:rsidRPr="00596E93">
        <w:rPr>
          <w:rFonts w:hint="cs"/>
          <w:rtl/>
        </w:rPr>
        <w:t>מעלויות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ארוחות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הקשורות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באופן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ישיר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לעסק</w:t>
      </w:r>
      <w:r w:rsidRPr="00596E93">
        <w:rPr>
          <w:rtl/>
        </w:rPr>
        <w:t xml:space="preserve">. </w:t>
      </w:r>
      <w:r w:rsidRPr="00596E93">
        <w:rPr>
          <w:rFonts w:hint="cs"/>
          <w:rtl/>
        </w:rPr>
        <w:t>כמו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כן</w:t>
      </w:r>
      <w:r w:rsidRPr="00596E93">
        <w:rPr>
          <w:rtl/>
        </w:rPr>
        <w:t xml:space="preserve">, </w:t>
      </w:r>
      <w:r w:rsidRPr="00596E93">
        <w:rPr>
          <w:rFonts w:hint="cs"/>
          <w:rtl/>
        </w:rPr>
        <w:t>הוא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מקבל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lastRenderedPageBreak/>
        <w:t>החזר בשיעור</w:t>
      </w:r>
      <w:r w:rsidRPr="00596E93">
        <w:rPr>
          <w:rtl/>
        </w:rPr>
        <w:t xml:space="preserve"> 100% </w:t>
      </w:r>
      <w:r w:rsidRPr="00596E93">
        <w:rPr>
          <w:rFonts w:hint="cs"/>
          <w:rtl/>
        </w:rPr>
        <w:t>מסכום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המע</w:t>
      </w:r>
      <w:r w:rsidRPr="00596E93">
        <w:rPr>
          <w:rtl/>
        </w:rPr>
        <w:t>"</w:t>
      </w:r>
      <w:r w:rsidRPr="00596E93">
        <w:rPr>
          <w:rFonts w:hint="cs"/>
          <w:rtl/>
        </w:rPr>
        <w:t>מ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ששולם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על</w:t>
      </w:r>
      <w:r w:rsidRPr="00596E93">
        <w:rPr>
          <w:rtl/>
        </w:rPr>
        <w:t xml:space="preserve"> </w:t>
      </w:r>
      <w:r w:rsidRPr="00596E93">
        <w:rPr>
          <w:rFonts w:hint="cs"/>
          <w:rtl/>
        </w:rPr>
        <w:t>הארוחה</w:t>
      </w:r>
      <w:r w:rsidRPr="00596E93">
        <w:rPr>
          <w:rtl/>
        </w:rPr>
        <w:t>.</w:t>
      </w:r>
    </w:p>
    <w:p w:rsidRPr="00596E93" w:rsidR="00596E93" w:rsidP="00596E93" w:rsidRDefault="00596E93" w14:paraId="31333FB2" w14:textId="77777777">
      <w:pPr>
        <w:pStyle w:val="Hesber"/>
        <w:rPr>
          <w:rtl/>
        </w:rPr>
      </w:pPr>
      <w:r w:rsidRPr="00596E93">
        <w:rPr>
          <w:rFonts w:hint="cs"/>
          <w:rtl/>
        </w:rPr>
        <w:t>בהצעת חוק זו מוצע לתקן את סעיף 32 לפקודת מס הכנסה כך שניתן יהיה לנכות את הוצאות הבית מהכנסתו החייבת של יחיד. כמו כן, מוצע כי יחיד</w:t>
      </w:r>
      <w:r w:rsidRPr="00596E93">
        <w:rPr>
          <w:rtl/>
        </w:rPr>
        <w:t xml:space="preserve"> יוכל לנכות ממס את הוצאותיו בגין אש"ל (אכילה, שתיה, לו</w:t>
      </w:r>
      <w:r w:rsidRPr="00596E93">
        <w:rPr>
          <w:rFonts w:hint="cs"/>
          <w:rtl/>
        </w:rPr>
        <w:t>ו</w:t>
      </w:r>
      <w:r w:rsidRPr="00596E93">
        <w:rPr>
          <w:rtl/>
        </w:rPr>
        <w:t>יה)</w:t>
      </w:r>
      <w:r w:rsidRPr="00596E93">
        <w:rPr>
          <w:rFonts w:hint="cs"/>
          <w:rtl/>
        </w:rPr>
        <w:t xml:space="preserve"> עד לתקרה של 1500 שקלים חדשים בחודש, ועבור יחיד שמנוכות מהכנסתו החייבת הוצאות הבית </w:t>
      </w:r>
      <w:r w:rsidRPr="00596E93">
        <w:rPr>
          <w:rtl/>
        </w:rPr>
        <w:t>–</w:t>
      </w:r>
      <w:r w:rsidRPr="00596E93">
        <w:rPr>
          <w:rFonts w:hint="cs"/>
          <w:rtl/>
        </w:rPr>
        <w:t xml:space="preserve"> עד לתקרה של 750 שקלים חדשים בחודש</w:t>
      </w:r>
      <w:r w:rsidRPr="00596E93">
        <w:rPr>
          <w:rtl/>
        </w:rPr>
        <w:t>.</w:t>
      </w:r>
    </w:p>
    <w:p w:rsidR="00EE5737" w:rsidP="00D5622D" w:rsidRDefault="00596E93" w14:paraId="244BE81D" w14:textId="77777777">
      <w:pPr>
        <w:pStyle w:val="Hesber"/>
        <w:rPr>
          <w:rtl/>
        </w:rPr>
      </w:pPr>
      <w:r w:rsidRPr="00596E93">
        <w:rPr>
          <w:rFonts w:hint="cs"/>
          <w:rtl/>
        </w:rPr>
        <w:t xml:space="preserve">הצעות חוק דומות בעיקרן הונחו על שולחן הכנסת העשרים ושתיים על ידי חבר הכנסת מיכאל מלכיאלי וקבוצת חברי הכנסת (פ/1374/22) ועל שולחן הכנסת העשרים ושלוש על ידי חברי הכנסת מיכאל </w:t>
      </w:r>
      <w:r w:rsidR="00D5622D">
        <w:rPr>
          <w:rFonts w:hint="cs"/>
          <w:rtl/>
        </w:rPr>
        <w:t xml:space="preserve">מלכיאלי ומשה אבוטבול (פ/126/23). </w:t>
      </w:r>
    </w:p>
    <w:p w:rsidR="00596E93" w:rsidP="00D5622D" w:rsidRDefault="00D5622D" w14:paraId="161F5BB8" w14:textId="0F1460E7">
      <w:pPr>
        <w:pStyle w:val="Hesber"/>
        <w:rPr>
          <w:rtl/>
        </w:rPr>
      </w:pPr>
      <w:bookmarkStart w:name="_GoBack" w:id="8"/>
      <w:bookmarkEnd w:id="8"/>
      <w:r>
        <w:rPr>
          <w:rFonts w:hint="cs"/>
          <w:rtl/>
        </w:rPr>
        <w:t xml:space="preserve">הצעת חוק זהה הונחה על שולחן הכנסת העשרים ושלוש </w:t>
      </w:r>
      <w:r w:rsidRPr="00596E93" w:rsidR="00596E93">
        <w:rPr>
          <w:rFonts w:hint="cs"/>
          <w:rtl/>
        </w:rPr>
        <w:t>על ידי חבר הכנסת עודד פורר (</w:t>
      </w:r>
      <w:r w:rsidRPr="00596E93" w:rsidR="00596E93">
        <w:rPr>
          <w:rtl/>
        </w:rPr>
        <w:t>פ/2179/23</w:t>
      </w:r>
      <w:r w:rsidRPr="00596E93" w:rsidR="00596E93">
        <w:rPr>
          <w:rFonts w:hint="cs"/>
          <w:rtl/>
        </w:rPr>
        <w:t>).</w:t>
      </w:r>
    </w:p>
    <w:p w:rsidRPr="00596E93" w:rsidR="00795BE0" w:rsidP="00823D90" w:rsidRDefault="00823D90" w14:paraId="622C31A0" w14:textId="03C2C71B">
      <w:pPr>
        <w:pStyle w:val="Hesber"/>
        <w:rPr>
          <w:rtl/>
        </w:rPr>
      </w:pPr>
      <w:r>
        <w:rPr>
          <w:rFonts w:hint="cs"/>
          <w:rtl/>
        </w:rPr>
        <w:t>הצעת החוק זהה לפ</w:t>
      </w:r>
      <w:r w:rsidR="00795BE0">
        <w:rPr>
          <w:rFonts w:hint="cs"/>
          <w:rtl/>
        </w:rPr>
        <w:t>/2179/23 ולפיכך לא נבדקה מחדש על ידי הלשכה המשפטית של הכנסת.</w:t>
      </w:r>
    </w:p>
    <w:p w:rsidR="00E13C27" w:rsidP="00E13C27" w:rsidRDefault="00E13C27" w14:paraId="7F6961CB" w14:textId="77777777">
      <w:pPr>
        <w:pStyle w:val="Hesber"/>
        <w:rPr>
          <w:rtl/>
        </w:rPr>
      </w:pPr>
    </w:p>
    <w:p w:rsidR="007C3136" w:rsidRDefault="00EE5737" w14:paraId="325A0449" w14:textId="77777777">
      <w:pPr>
        <w:spacing w:before="0" w:line="360" w:lineRule="auto"/>
        <w:jc w:val="left"/>
      </w:pPr>
      <w:bookmarkStart w:name="selectedDocDateB" w:id="9"/>
      <w:bookmarkEnd w:id="9"/>
      <w:r>
        <w:rPr>
          <w:rFonts w:hint="cs" w:ascii="David" w:hAnsi="David" w:eastAsia="David" w:cs="David"/>
          <w:sz w:val="26"/>
          <w:szCs w:val="26"/>
          <w:rtl/>
        </w:rPr>
        <w:t>--------------------------------</w:t>
      </w:r>
    </w:p>
    <w:p w:rsidR="007C3136" w:rsidRDefault="00EE5737" w14:paraId="42634301" w14:textId="77777777">
      <w:pPr>
        <w:spacing w:before="0" w:line="360" w:lineRule="auto"/>
        <w:jc w:val="left"/>
      </w:pPr>
      <w:r>
        <w:rPr>
          <w:rFonts w:hint="cs" w:ascii="David" w:hAnsi="David" w:eastAsia="David" w:cs="David"/>
          <w:sz w:val="26"/>
          <w:szCs w:val="26"/>
          <w:rtl/>
        </w:rPr>
        <w:t>הוגשה ליו"ר הכנסת והסגנים</w:t>
      </w:r>
    </w:p>
    <w:p w:rsidR="007C3136" w:rsidRDefault="00EE5737" w14:paraId="750E5913" w14:textId="77777777">
      <w:pPr>
        <w:spacing w:before="0" w:line="360" w:lineRule="auto"/>
        <w:jc w:val="left"/>
      </w:pPr>
      <w:r>
        <w:rPr>
          <w:rFonts w:hint="cs" w:ascii="David" w:hAnsi="David" w:eastAsia="David" w:cs="David"/>
          <w:sz w:val="26"/>
          <w:szCs w:val="26"/>
          <w:rtl/>
        </w:rPr>
        <w:t>והונחה על שולחן הכנסת ביום</w:t>
      </w:r>
    </w:p>
    <w:p w:rsidR="007C3136" w:rsidRDefault="00EE5737" w14:paraId="427C1454" w14:textId="77777777">
      <w:pPr>
        <w:spacing w:before="0" w:line="360" w:lineRule="auto"/>
        <w:jc w:val="left"/>
      </w:pPr>
      <w:r>
        <w:rPr>
          <w:rFonts w:hint="cs" w:ascii="David" w:hAnsi="David" w:eastAsia="David" w:cs="David"/>
          <w:sz w:val="26"/>
          <w:szCs w:val="26"/>
          <w:rtl/>
        </w:rPr>
        <w:t xml:space="preserve">י"ב בחשוון התשפ"ב (18.10.2021) </w:t>
      </w:r>
    </w:p>
    <w:p w:rsidR="007C3136" w:rsidRDefault="007C3136" w14:paraId="2BB3F8BC" w14:textId="77777777">
      <w:pPr>
        <w:spacing w:before="0" w:line="276" w:lineRule="auto"/>
        <w:jc w:val="left"/>
      </w:pPr>
    </w:p>
    <w:sectPr w:rsidR="007C3136" w:rsidSect="001207F8">
      <w:footerReference w:type="even" r:id="rId11"/>
      <w:footerReference w:type="default" r:id="rId12"/>
      <w:pgSz w:w="11907" w:h="16840" w:code="9"/>
      <w:pgMar w:top="1134" w:right="1134" w:bottom="1134" w:left="1134" w:header="680" w:footer="680" w:gutter="0"/>
      <w:cols w:space="720"/>
      <w:noEndnote/>
      <w:titlePg/>
      <w:bidi/>
      <w:rtlGutter/>
      <w:docGrid w:linePitch="2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7F6961D6" w14:textId="77777777" w:rsidR="002C3041" w:rsidRDefault="002C304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EE5737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7F6961D8" w14:textId="77777777" w:rsidR="002C3041" w:rsidRDefault="002C30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6F6F2FE3" w14:textId="77777777" w:rsidR="00596E93" w:rsidRDefault="00596E93" w:rsidP="00596E93">
      <w:pPr>
        <w:pStyle w:val="a4"/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 דיני מדינת ישראל, נוסח חדש, מס' 6, עמ' 120.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5CA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88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A1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05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22F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6C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2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D08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96E93"/>
    <w:rsid w:val="005B064E"/>
    <w:rsid w:val="005D51AE"/>
    <w:rsid w:val="0062674B"/>
    <w:rsid w:val="006363B2"/>
    <w:rsid w:val="00644940"/>
    <w:rsid w:val="006818A9"/>
    <w:rsid w:val="006A2D81"/>
    <w:rsid w:val="006C1D0D"/>
    <w:rsid w:val="0070601E"/>
    <w:rsid w:val="00712C72"/>
    <w:rsid w:val="00735FE9"/>
    <w:rsid w:val="00763CAA"/>
    <w:rsid w:val="00765F66"/>
    <w:rsid w:val="0078664F"/>
    <w:rsid w:val="00795BE0"/>
    <w:rsid w:val="007A27CE"/>
    <w:rsid w:val="007C3136"/>
    <w:rsid w:val="007C3FA6"/>
    <w:rsid w:val="007D585A"/>
    <w:rsid w:val="007D5A12"/>
    <w:rsid w:val="007E59F9"/>
    <w:rsid w:val="00810BCD"/>
    <w:rsid w:val="00812C98"/>
    <w:rsid w:val="00814D92"/>
    <w:rsid w:val="00823D90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975AD"/>
    <w:rsid w:val="00BC45FB"/>
    <w:rsid w:val="00BF148D"/>
    <w:rsid w:val="00C23B1A"/>
    <w:rsid w:val="00C310EB"/>
    <w:rsid w:val="00C9176A"/>
    <w:rsid w:val="00CF1AA2"/>
    <w:rsid w:val="00D142D3"/>
    <w:rsid w:val="00D17774"/>
    <w:rsid w:val="00D5622D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E5737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28C7F28F-081E-4543-9715-F5A537F7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AD"/>
    <w:pPr>
      <w:widowControl w:val="0"/>
      <w:autoSpaceDE w:val="0"/>
      <w:autoSpaceDN w:val="0"/>
      <w:bidi/>
      <w:adjustRightInd w:val="0"/>
      <w:spacing w:before="102" w:line="204" w:lineRule="atLeast"/>
      <w:ind w:firstLine="340"/>
      <w:jc w:val="both"/>
      <w:textAlignment w:val="center"/>
    </w:pPr>
    <w:rPr>
      <w:rFonts w:ascii="Hadasa Roso SL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B975AD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B975AD"/>
    <w:rPr>
      <w:sz w:val="36"/>
      <w:szCs w:val="52"/>
    </w:rPr>
  </w:style>
  <w:style w:type="paragraph" w:customStyle="1" w:styleId="Cover3-Haknesset">
    <w:name w:val="Cover 3-Haknesset"/>
    <w:basedOn w:val="Cover1-Reshumot"/>
    <w:rsid w:val="00B975AD"/>
    <w:rPr>
      <w:b/>
      <w:bCs/>
      <w:spacing w:val="60"/>
    </w:rPr>
  </w:style>
  <w:style w:type="paragraph" w:customStyle="1" w:styleId="Cover4-Date">
    <w:name w:val="Cover 4-Date"/>
    <w:basedOn w:val="a"/>
    <w:rsid w:val="00B975AD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B975AD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">
    <w:name w:val="Head HatzaotHok"/>
    <w:basedOn w:val="a"/>
    <w:rsid w:val="00B975AD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B975AD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B975AD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B975AD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B975AD"/>
  </w:style>
  <w:style w:type="paragraph" w:customStyle="1" w:styleId="TableBlock">
    <w:name w:val="Table Block"/>
    <w:basedOn w:val="TableText"/>
    <w:rsid w:val="00B975AD"/>
    <w:pPr>
      <w:ind w:right="0"/>
      <w:jc w:val="both"/>
    </w:pPr>
  </w:style>
  <w:style w:type="paragraph" w:customStyle="1" w:styleId="TableHead">
    <w:name w:val="Table Head"/>
    <w:basedOn w:val="TableText"/>
    <w:rsid w:val="00B975AD"/>
    <w:pPr>
      <w:ind w:right="0"/>
      <w:jc w:val="center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B975AD"/>
  </w:style>
  <w:style w:type="paragraph" w:customStyle="1" w:styleId="Hesber">
    <w:name w:val="Hesber"/>
    <w:basedOn w:val="a"/>
    <w:rsid w:val="00B975AD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4">
    <w:name w:val="footnote text"/>
    <w:basedOn w:val="a"/>
    <w:autoRedefine/>
    <w:semiHidden/>
    <w:rsid w:val="00B975AD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styleId="a5">
    <w:name w:val="footnote reference"/>
    <w:basedOn w:val="a0"/>
    <w:semiHidden/>
    <w:rsid w:val="00B975AD"/>
    <w:rPr>
      <w:vertAlign w:val="superscript"/>
    </w:rPr>
  </w:style>
  <w:style w:type="paragraph" w:customStyle="1" w:styleId="HesberHeading">
    <w:name w:val="Hesber Heading"/>
    <w:basedOn w:val="Hesber"/>
    <w:rsid w:val="00B975AD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Writers">
    <w:name w:val="Hesber Writers"/>
    <w:basedOn w:val="Hesber"/>
    <w:rsid w:val="00B975AD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B975AD"/>
    <w:pPr>
      <w:tabs>
        <w:tab w:val="left" w:pos="680"/>
        <w:tab w:val="left" w:pos="1020"/>
      </w:tabs>
      <w:ind w:firstLine="0"/>
    </w:pPr>
  </w:style>
  <w:style w:type="character" w:styleId="a6">
    <w:name w:val="endnote reference"/>
    <w:basedOn w:val="a0"/>
    <w:semiHidden/>
    <w:rsid w:val="00B975AD"/>
    <w:rPr>
      <w:vertAlign w:val="superscript"/>
    </w:rPr>
  </w:style>
  <w:style w:type="paragraph" w:customStyle="1" w:styleId="TableBlockOutdent">
    <w:name w:val="Table BlockOutdent"/>
    <w:basedOn w:val="TableBlock"/>
    <w:rsid w:val="00B975AD"/>
    <w:pPr>
      <w:ind w:left="624" w:hanging="624"/>
    </w:pPr>
  </w:style>
  <w:style w:type="paragraph" w:styleId="a7">
    <w:name w:val="header"/>
    <w:basedOn w:val="a"/>
    <w:rsid w:val="00B975AD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B975AD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B975AD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B975AD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9">
    <w:name w:val="Title"/>
    <w:basedOn w:val="a"/>
    <w:qFormat/>
    <w:rsid w:val="00943386"/>
    <w:pPr>
      <w:jc w:val="center"/>
    </w:pPr>
    <w:rPr>
      <w:rFonts w:cs="David"/>
      <w:b/>
      <w:bCs/>
      <w:sz w:val="28"/>
      <w:szCs w:val="28"/>
      <w:u w:val="single"/>
    </w:rPr>
  </w:style>
  <w:style w:type="character" w:styleId="aa">
    <w:name w:val="page number"/>
    <w:basedOn w:val="a0"/>
    <w:rsid w:val="00B975AD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ind w:firstLine="0"/>
      <w:jc w:val="left"/>
    </w:pPr>
    <w:rPr>
      <w:rFonts w:cs="David"/>
      <w:sz w:val="26"/>
      <w:szCs w:val="26"/>
    </w:rPr>
  </w:style>
  <w:style w:type="paragraph" w:styleId="ab">
    <w:name w:val="Balloon Text"/>
    <w:basedOn w:val="a"/>
    <w:link w:val="ac"/>
    <w:semiHidden/>
    <w:unhideWhenUsed/>
    <w:rsid w:val="00325C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E13442BF316646AF5951F2A6F4E844" ma:contentTypeVersion="" ma:contentTypeDescription="צור מסמך חדש." ma:contentTypeScope="" ma:versionID="3e09f08e861ef8c9ca8a66bc33319a22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5FA7D-FFA7-46D6-9742-DE283E0C2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F4AFE3-9455-419C-8851-785A55F4451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9518312-2F23-4F08-83A6-FFFDC24C3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לילך יעיש</cp:lastModifiedBy>
  <cp:revision>7</cp:revision>
  <cp:lastPrinted>2021-10-17T06:50:00Z</cp:lastPrinted>
  <dcterms:created xsi:type="dcterms:W3CDTF">2015-04-20T09:58:00Z</dcterms:created>
  <dcterms:modified xsi:type="dcterms:W3CDTF">2021-10-17T06:50:00Z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0x010100ABE13442BF316646AF5951F2A6F4E844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2163177</vt:r8>
  </property>
</Properties>
</file>